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3BAC48">
      <w:pPr>
        <w:keepNext w:val="0"/>
        <w:keepLines w:val="0"/>
        <w:pageBreakBefore w:val="0"/>
        <w:widowControl w:val="0"/>
        <w:kinsoku/>
        <w:wordWrap/>
        <w:overflowPunct/>
        <w:topLinePunct w:val="0"/>
        <w:autoSpaceDE/>
        <w:autoSpaceDN/>
        <w:bidi w:val="0"/>
        <w:adjustRightInd/>
        <w:snapToGrid/>
        <w:ind w:firstLine="803" w:firstLineChars="200"/>
        <w:jc w:val="center"/>
        <w:textAlignment w:val="auto"/>
        <w:rPr>
          <w:rFonts w:hint="eastAsia" w:ascii="仿宋" w:hAnsi="仿宋" w:eastAsia="仿宋" w:cs="仿宋"/>
          <w:b/>
          <w:bCs/>
          <w:sz w:val="40"/>
          <w:szCs w:val="40"/>
        </w:rPr>
      </w:pPr>
      <w:r>
        <w:rPr>
          <w:rFonts w:hint="eastAsia" w:ascii="仿宋" w:hAnsi="仿宋" w:eastAsia="仿宋" w:cs="仿宋"/>
          <w:b/>
          <w:bCs/>
          <w:sz w:val="40"/>
          <w:szCs w:val="40"/>
        </w:rPr>
        <w:t>石家庄怀远高校后勤服务有限公司</w:t>
      </w:r>
    </w:p>
    <w:p w14:paraId="6BDB0C80">
      <w:pPr>
        <w:keepNext w:val="0"/>
        <w:keepLines w:val="0"/>
        <w:pageBreakBefore w:val="0"/>
        <w:widowControl w:val="0"/>
        <w:kinsoku/>
        <w:wordWrap/>
        <w:overflowPunct/>
        <w:topLinePunct w:val="0"/>
        <w:autoSpaceDE/>
        <w:autoSpaceDN/>
        <w:bidi w:val="0"/>
        <w:adjustRightInd/>
        <w:snapToGrid/>
        <w:ind w:firstLine="803" w:firstLineChars="200"/>
        <w:jc w:val="center"/>
        <w:textAlignment w:val="auto"/>
        <w:rPr>
          <w:rFonts w:hint="eastAsia" w:ascii="仿宋" w:hAnsi="仿宋" w:eastAsia="仿宋" w:cs="仿宋"/>
          <w:b/>
          <w:bCs/>
          <w:sz w:val="40"/>
          <w:szCs w:val="40"/>
        </w:rPr>
      </w:pPr>
      <w:r>
        <w:rPr>
          <w:rFonts w:hint="eastAsia" w:ascii="仿宋" w:hAnsi="仿宋" w:eastAsia="仿宋" w:cs="仿宋"/>
          <w:b/>
          <w:bCs/>
          <w:sz w:val="40"/>
          <w:szCs w:val="40"/>
        </w:rPr>
        <w:t>清算资产评估服务比选办法</w:t>
      </w:r>
    </w:p>
    <w:p w14:paraId="1D2C43C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p>
    <w:p w14:paraId="19F85F13">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第一章 总则</w:t>
      </w:r>
    </w:p>
    <w:p w14:paraId="02E3835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第一条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为规范本次清算资产评估服务比选工作，保障比选活动公开、公平、公正，维护参选各方合法权益，结合本项目实际情况，制定本办法。</w:t>
      </w:r>
    </w:p>
    <w:p w14:paraId="0BA9FBE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比选工作遵循客观公正、科学择优、综合评定、权责统一的原则，严格按照比选公告及本办法规定的标准和方法独立进行，不受任何单位或个人干预。</w:t>
      </w:r>
    </w:p>
    <w:p w14:paraId="6C9AB4B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第三条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本办法适用于石家庄怀远高校后勤服务有限公司清算资产评估服务项目的比选工作。本次比选确定1家中选机构、1家备选机构。</w:t>
      </w:r>
    </w:p>
    <w:p w14:paraId="569E8ECF">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第二章 比选组织</w:t>
      </w:r>
    </w:p>
    <w:p w14:paraId="3DDEDA7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第四条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本次比选设立比选小组，由石家庄学院代表、石家庄市裕华区宋营镇中仰陵村民委员会代表、公司相关人员共同组成，人数为3人以上单数，负责本次比选的全部工作。</w:t>
      </w:r>
    </w:p>
    <w:p w14:paraId="0BE1807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第五条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比选小组主要职责：</w:t>
      </w:r>
    </w:p>
    <w:p w14:paraId="3FBEF3C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（一）核验参选文件密封情况，对参选文件进行资格审查、符合性审查；</w:t>
      </w:r>
    </w:p>
    <w:p w14:paraId="79406A0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（二）按照本办法规定的评分标准独立打分、综合评议；</w:t>
      </w:r>
    </w:p>
    <w:p w14:paraId="481779F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（三）要求参选机构对响应文件中含义不明确、同类问题表述不一致或有明显文字、计算错误的内容作出书面澄清说明；</w:t>
      </w:r>
    </w:p>
    <w:p w14:paraId="3394CBD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（四）认定无效参选情形，推荐中选候选人及备选机构；</w:t>
      </w:r>
    </w:p>
    <w:p w14:paraId="4C21E01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（五）出具书面比选报告，处理比选过程中的其他相关事项。</w:t>
      </w:r>
    </w:p>
    <w:p w14:paraId="697B5EC1">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第三章 比选程序</w:t>
      </w:r>
    </w:p>
    <w:p w14:paraId="33BD32C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第六条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比选工作按照以下流程依次推进，上一环节未通过的参选文件，不进入下一环节比选：</w:t>
      </w:r>
    </w:p>
    <w:p w14:paraId="156F33E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（一）密封核验</w:t>
      </w:r>
      <w:r>
        <w:rPr>
          <w:rFonts w:hint="eastAsia" w:ascii="仿宋" w:hAnsi="仿宋" w:eastAsia="仿宋" w:cs="仿宋"/>
          <w:sz w:val="32"/>
          <w:szCs w:val="32"/>
          <w:lang w:eastAsia="zh-CN"/>
        </w:rPr>
        <w:t>。</w:t>
      </w:r>
      <w:r>
        <w:rPr>
          <w:rFonts w:hint="eastAsia" w:ascii="仿宋" w:hAnsi="仿宋" w:eastAsia="仿宋" w:cs="仿宋"/>
          <w:sz w:val="32"/>
          <w:szCs w:val="32"/>
        </w:rPr>
        <w:t>比选小组现场核验参选文件的封装情况，确认无误后拆封；封装不符合比选公告要求的，作无效参选处理。</w:t>
      </w:r>
    </w:p>
    <w:p w14:paraId="05A4ED1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（二）资格审查</w:t>
      </w:r>
      <w:r>
        <w:rPr>
          <w:rFonts w:hint="eastAsia" w:ascii="仿宋" w:hAnsi="仿宋" w:eastAsia="仿宋" w:cs="仿宋"/>
          <w:sz w:val="32"/>
          <w:szCs w:val="32"/>
          <w:lang w:eastAsia="zh-CN"/>
        </w:rPr>
        <w:t>。</w:t>
      </w:r>
      <w:r>
        <w:rPr>
          <w:rFonts w:hint="eastAsia" w:ascii="仿宋" w:hAnsi="仿宋" w:eastAsia="仿宋" w:cs="仿宋"/>
          <w:sz w:val="32"/>
          <w:szCs w:val="32"/>
        </w:rPr>
        <w:t>对照资格条件逐家核验参选机构资质资格，不</w:t>
      </w:r>
      <w:r>
        <w:rPr>
          <w:rFonts w:hint="eastAsia" w:ascii="仿宋" w:hAnsi="仿宋" w:eastAsia="仿宋" w:cs="仿宋"/>
          <w:sz w:val="32"/>
          <w:szCs w:val="32"/>
          <w:lang w:val="en-US" w:eastAsia="zh-CN"/>
        </w:rPr>
        <w:t>满足资格条件的作无效参选处理</w:t>
      </w:r>
      <w:r>
        <w:rPr>
          <w:rFonts w:hint="eastAsia" w:ascii="仿宋" w:hAnsi="仿宋" w:eastAsia="仿宋" w:cs="仿宋"/>
          <w:sz w:val="32"/>
          <w:szCs w:val="32"/>
        </w:rPr>
        <w:t>。</w:t>
      </w:r>
    </w:p>
    <w:p w14:paraId="2125DD9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（三）符合性审查</w:t>
      </w:r>
      <w:r>
        <w:rPr>
          <w:rFonts w:hint="eastAsia" w:ascii="仿宋" w:hAnsi="仿宋" w:eastAsia="仿宋" w:cs="仿宋"/>
          <w:sz w:val="32"/>
          <w:szCs w:val="32"/>
          <w:lang w:eastAsia="zh-CN"/>
        </w:rPr>
        <w:t>。</w:t>
      </w:r>
      <w:r>
        <w:rPr>
          <w:rFonts w:hint="eastAsia" w:ascii="仿宋" w:hAnsi="仿宋" w:eastAsia="仿宋" w:cs="仿宋"/>
          <w:sz w:val="32"/>
          <w:szCs w:val="32"/>
        </w:rPr>
        <w:t>审查参选文件是否实质性响应比选公告要求，存在重大偏差的作无效参选处理。</w:t>
      </w:r>
    </w:p>
    <w:p w14:paraId="7DA87A5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（四）澄清与说明</w:t>
      </w:r>
      <w:r>
        <w:rPr>
          <w:rFonts w:hint="eastAsia" w:ascii="仿宋" w:hAnsi="仿宋" w:eastAsia="仿宋" w:cs="仿宋"/>
          <w:sz w:val="32"/>
          <w:szCs w:val="32"/>
          <w:lang w:eastAsia="zh-CN"/>
        </w:rPr>
        <w:t>。</w:t>
      </w:r>
      <w:r>
        <w:rPr>
          <w:rFonts w:hint="eastAsia" w:ascii="仿宋" w:hAnsi="仿宋" w:eastAsia="仿宋" w:cs="仿宋"/>
          <w:sz w:val="32"/>
          <w:szCs w:val="32"/>
        </w:rPr>
        <w:t>比选小组可就参选文件中含义不明确、同类问题表述不一致或有明显文字、计算错误的内容，要求参选机构作出书面澄清说明。澄清不得超出参选文件范围，不得改变报价、服务期限、质量标准等实质性内容。参选机构须在比选小组要求的时间内（原则上不超过30分钟）提交澄清材料。</w:t>
      </w:r>
    </w:p>
    <w:p w14:paraId="4953057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（五）综合评分</w:t>
      </w:r>
      <w:r>
        <w:rPr>
          <w:rFonts w:hint="eastAsia" w:ascii="仿宋" w:hAnsi="仿宋" w:eastAsia="仿宋" w:cs="仿宋"/>
          <w:sz w:val="32"/>
          <w:szCs w:val="32"/>
          <w:lang w:eastAsia="zh-CN"/>
        </w:rPr>
        <w:t>。</w:t>
      </w:r>
      <w:r>
        <w:rPr>
          <w:rFonts w:hint="eastAsia" w:ascii="仿宋" w:hAnsi="仿宋" w:eastAsia="仿宋" w:cs="仿宋"/>
          <w:sz w:val="32"/>
          <w:szCs w:val="32"/>
        </w:rPr>
        <w:t>对通过前两轮审查的有效参选文件，比选小组成员独立打分，按规则计算最终得分。</w:t>
      </w:r>
    </w:p>
    <w:p w14:paraId="2CAB74A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（六）推荐中选候选人</w:t>
      </w:r>
      <w:r>
        <w:rPr>
          <w:rFonts w:hint="eastAsia" w:ascii="仿宋" w:hAnsi="仿宋" w:eastAsia="仿宋" w:cs="仿宋"/>
          <w:sz w:val="32"/>
          <w:szCs w:val="32"/>
          <w:lang w:eastAsia="zh-CN"/>
        </w:rPr>
        <w:t>。</w:t>
      </w:r>
      <w:r>
        <w:rPr>
          <w:rFonts w:hint="eastAsia" w:ascii="仿宋" w:hAnsi="仿宋" w:eastAsia="仿宋" w:cs="仿宋"/>
          <w:sz w:val="32"/>
          <w:szCs w:val="32"/>
        </w:rPr>
        <w:t>按最终得分由高到低排序，确定中选机构与备选机构。</w:t>
      </w:r>
    </w:p>
    <w:p w14:paraId="1354A703">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（七）出具</w:t>
      </w:r>
      <w:r>
        <w:rPr>
          <w:rFonts w:hint="eastAsia" w:ascii="仿宋" w:hAnsi="仿宋" w:eastAsia="仿宋" w:cs="仿宋"/>
          <w:sz w:val="32"/>
          <w:szCs w:val="32"/>
          <w:lang w:val="en-US" w:eastAsia="zh-CN"/>
        </w:rPr>
        <w:t>比选</w:t>
      </w:r>
      <w:r>
        <w:rPr>
          <w:rFonts w:hint="eastAsia" w:ascii="仿宋" w:hAnsi="仿宋" w:eastAsia="仿宋" w:cs="仿宋"/>
          <w:sz w:val="32"/>
          <w:szCs w:val="32"/>
        </w:rPr>
        <w:t>报告</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比选</w:t>
      </w:r>
      <w:r>
        <w:rPr>
          <w:rFonts w:hint="eastAsia" w:ascii="仿宋" w:hAnsi="仿宋" w:eastAsia="仿宋" w:cs="仿宋"/>
          <w:sz w:val="32"/>
          <w:szCs w:val="32"/>
        </w:rPr>
        <w:t>小组整理评审资料，形成书面评审报告，全体成员签字确认后生效。</w:t>
      </w:r>
    </w:p>
    <w:p w14:paraId="39938A9D">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第四章 资格审查</w:t>
      </w:r>
    </w:p>
    <w:p w14:paraId="188D6F9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第七条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资格审查为一票否决制，参选机构任意一项不满足要求的，视为资格不合格，不得进入后续评审。</w:t>
      </w:r>
    </w:p>
    <w:p w14:paraId="5C99E43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第八条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资格审查标准与比选公告资格条件一一对应，具体如下：</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841"/>
        <w:gridCol w:w="2841"/>
      </w:tblGrid>
      <w:tr w14:paraId="56165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152F8043">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序号</w:t>
            </w:r>
          </w:p>
        </w:tc>
        <w:tc>
          <w:tcPr>
            <w:tcW w:w="2841" w:type="dxa"/>
          </w:tcPr>
          <w:p w14:paraId="25640C9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评审因素</w:t>
            </w:r>
          </w:p>
        </w:tc>
        <w:tc>
          <w:tcPr>
            <w:tcW w:w="2841" w:type="dxa"/>
          </w:tcPr>
          <w:p w14:paraId="37D5407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评审标准</w:t>
            </w:r>
          </w:p>
        </w:tc>
      </w:tr>
      <w:tr w14:paraId="1EE42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6723164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2841" w:type="dxa"/>
          </w:tcPr>
          <w:p w14:paraId="3C639E3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在国内依法注册，在财政部门完成资产评估机构备案，具备有效的资产评估执业资质，独立承担民事责任。</w:t>
            </w:r>
          </w:p>
        </w:tc>
        <w:tc>
          <w:tcPr>
            <w:tcW w:w="2841" w:type="dxa"/>
          </w:tcPr>
          <w:p w14:paraId="612B22D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具备并有效</w:t>
            </w:r>
          </w:p>
        </w:tc>
      </w:tr>
      <w:tr w14:paraId="022BB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D6E281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w:t>
            </w:r>
          </w:p>
        </w:tc>
        <w:tc>
          <w:tcPr>
            <w:tcW w:w="2841" w:type="dxa"/>
          </w:tcPr>
          <w:p w14:paraId="44118E6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机构及项目负责人近3年内无行政处罚、行业惩戒、失信记录，未被列入失信联合惩戒名单、资产评估行业黑名单；项目负责人为注册资产评估师，执业年限3年及以上。</w:t>
            </w:r>
          </w:p>
        </w:tc>
        <w:tc>
          <w:tcPr>
            <w:tcW w:w="2841" w:type="dxa"/>
          </w:tcPr>
          <w:p w14:paraId="2925E8E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以比选当天现场查询为准</w:t>
            </w:r>
          </w:p>
        </w:tc>
      </w:tr>
      <w:tr w14:paraId="0B64E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01E27E0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w:t>
            </w:r>
          </w:p>
        </w:tc>
        <w:tc>
          <w:tcPr>
            <w:tcW w:w="2841" w:type="dxa"/>
          </w:tcPr>
          <w:p w14:paraId="45065FB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近3年具有企业清算注销、清产核资资产评估相关业绩（提供合同或评估报告复印件佐证）</w:t>
            </w:r>
            <w:r>
              <w:rPr>
                <w:rFonts w:hint="eastAsia" w:ascii="仿宋" w:hAnsi="仿宋" w:eastAsia="仿宋" w:cs="仿宋"/>
                <w:sz w:val="32"/>
                <w:szCs w:val="32"/>
                <w:vertAlign w:val="baseline"/>
                <w:lang w:eastAsia="zh-CN"/>
              </w:rPr>
              <w:t>。</w:t>
            </w:r>
          </w:p>
        </w:tc>
        <w:tc>
          <w:tcPr>
            <w:tcW w:w="2841" w:type="dxa"/>
          </w:tcPr>
          <w:p w14:paraId="4B000503">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具备并有效</w:t>
            </w:r>
          </w:p>
        </w:tc>
      </w:tr>
      <w:tr w14:paraId="5D706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09B5F20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4</w:t>
            </w:r>
          </w:p>
        </w:tc>
        <w:tc>
          <w:tcPr>
            <w:tcW w:w="2841" w:type="dxa"/>
          </w:tcPr>
          <w:p w14:paraId="2A3EF17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参选机构及项目团队成员与本公司及石家庄学院、中仰陵村委会无股权关联和其他利害关系，不存在影响评估公允性的情形。（参选机构自行书面承诺）</w:t>
            </w:r>
          </w:p>
        </w:tc>
        <w:tc>
          <w:tcPr>
            <w:tcW w:w="2841" w:type="dxa"/>
          </w:tcPr>
          <w:p w14:paraId="4C642D9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具备并有效</w:t>
            </w:r>
          </w:p>
        </w:tc>
      </w:tr>
      <w:tr w14:paraId="1B023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6C4DDBB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5</w:t>
            </w:r>
          </w:p>
        </w:tc>
        <w:tc>
          <w:tcPr>
            <w:tcW w:w="2841" w:type="dxa"/>
          </w:tcPr>
          <w:p w14:paraId="6A49B3A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不存在单位负责人为同一人或存在控股、管理关系的多家机构同时参选的情形</w:t>
            </w:r>
            <w:r>
              <w:rPr>
                <w:rFonts w:hint="eastAsia" w:ascii="仿宋" w:hAnsi="仿宋" w:eastAsia="仿宋" w:cs="仿宋"/>
                <w:sz w:val="32"/>
                <w:szCs w:val="32"/>
                <w:vertAlign w:val="baseline"/>
                <w:lang w:eastAsia="zh-CN"/>
              </w:rPr>
              <w:t>。（参选机构自行书面承诺）</w:t>
            </w:r>
          </w:p>
        </w:tc>
        <w:tc>
          <w:tcPr>
            <w:tcW w:w="2841" w:type="dxa"/>
          </w:tcPr>
          <w:p w14:paraId="73ED8E7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具备并有效</w:t>
            </w:r>
          </w:p>
        </w:tc>
      </w:tr>
    </w:tbl>
    <w:p w14:paraId="65323A13">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p>
    <w:p w14:paraId="463F938A">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第五章 符合性审查</w:t>
      </w:r>
    </w:p>
    <w:p w14:paraId="236B962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第九条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符合性审查主要核验参选文件的响应完整性与实质性匹配度。</w:t>
      </w:r>
    </w:p>
    <w:p w14:paraId="07F0BFE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第十条 符合性审查标准如下：</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841"/>
        <w:gridCol w:w="2841"/>
      </w:tblGrid>
      <w:tr w14:paraId="38B71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7B6DCF0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序号</w:t>
            </w:r>
          </w:p>
        </w:tc>
        <w:tc>
          <w:tcPr>
            <w:tcW w:w="2841" w:type="dxa"/>
          </w:tcPr>
          <w:p w14:paraId="2F3A1BD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评审因素</w:t>
            </w:r>
          </w:p>
        </w:tc>
        <w:tc>
          <w:tcPr>
            <w:tcW w:w="2841" w:type="dxa"/>
          </w:tcPr>
          <w:p w14:paraId="2B8034B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评审标准</w:t>
            </w:r>
          </w:p>
        </w:tc>
      </w:tr>
      <w:tr w14:paraId="0C2B2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B0F895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2841" w:type="dxa"/>
          </w:tcPr>
          <w:p w14:paraId="318722E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比选机构名称</w:t>
            </w:r>
            <w:r>
              <w:rPr>
                <w:rFonts w:hint="eastAsia" w:ascii="仿宋" w:hAnsi="仿宋" w:eastAsia="仿宋" w:cs="仿宋"/>
                <w:sz w:val="32"/>
                <w:szCs w:val="32"/>
                <w:vertAlign w:val="baseline"/>
              </w:rPr>
              <w:t>与营业执照（副本）名称一致（名称变更的，出具齐全的变更手续证明）</w:t>
            </w:r>
            <w:r>
              <w:rPr>
                <w:rFonts w:hint="eastAsia" w:ascii="仿宋" w:hAnsi="仿宋" w:eastAsia="仿宋" w:cs="仿宋"/>
                <w:sz w:val="32"/>
                <w:szCs w:val="32"/>
                <w:vertAlign w:val="baseline"/>
                <w:lang w:eastAsia="zh-CN"/>
              </w:rPr>
              <w:t>。</w:t>
            </w:r>
          </w:p>
        </w:tc>
        <w:tc>
          <w:tcPr>
            <w:tcW w:w="2841" w:type="dxa"/>
          </w:tcPr>
          <w:p w14:paraId="6049799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符合</w:t>
            </w:r>
          </w:p>
        </w:tc>
      </w:tr>
      <w:tr w14:paraId="626E1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381E8DE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w:t>
            </w:r>
          </w:p>
        </w:tc>
        <w:tc>
          <w:tcPr>
            <w:tcW w:w="2841" w:type="dxa"/>
          </w:tcPr>
          <w:p w14:paraId="1249D65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参选文件密封完好，符合比选公告封装要求</w:t>
            </w:r>
            <w:r>
              <w:rPr>
                <w:rFonts w:hint="eastAsia" w:ascii="仿宋" w:hAnsi="仿宋" w:eastAsia="仿宋" w:cs="仿宋"/>
                <w:sz w:val="32"/>
                <w:szCs w:val="32"/>
                <w:vertAlign w:val="baseline"/>
                <w:lang w:eastAsia="zh-CN"/>
              </w:rPr>
              <w:t>。</w:t>
            </w:r>
          </w:p>
        </w:tc>
        <w:tc>
          <w:tcPr>
            <w:tcW w:w="2841" w:type="dxa"/>
          </w:tcPr>
          <w:p w14:paraId="16C745C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符合</w:t>
            </w:r>
          </w:p>
        </w:tc>
      </w:tr>
      <w:tr w14:paraId="48EBD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5B1122F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w:t>
            </w:r>
          </w:p>
        </w:tc>
        <w:tc>
          <w:tcPr>
            <w:tcW w:w="2841" w:type="dxa"/>
          </w:tcPr>
          <w:p w14:paraId="46711A0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参选文件签署、盖章齐全完整，法定代表人签字或授权委托手续合规</w:t>
            </w:r>
            <w:r>
              <w:rPr>
                <w:rFonts w:hint="eastAsia" w:ascii="仿宋" w:hAnsi="仿宋" w:eastAsia="仿宋" w:cs="仿宋"/>
                <w:sz w:val="32"/>
                <w:szCs w:val="32"/>
                <w:vertAlign w:val="baseline"/>
                <w:lang w:eastAsia="zh-CN"/>
              </w:rPr>
              <w:t>。</w:t>
            </w:r>
          </w:p>
        </w:tc>
        <w:tc>
          <w:tcPr>
            <w:tcW w:w="2841" w:type="dxa"/>
          </w:tcPr>
          <w:p w14:paraId="5B958DF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符合</w:t>
            </w:r>
          </w:p>
        </w:tc>
      </w:tr>
      <w:tr w14:paraId="3613C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989324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4</w:t>
            </w:r>
          </w:p>
        </w:tc>
        <w:tc>
          <w:tcPr>
            <w:tcW w:w="2841" w:type="dxa"/>
          </w:tcPr>
          <w:p w14:paraId="2C8CE21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参选文件组成齐全，无实质性缺项漏项</w:t>
            </w:r>
            <w:r>
              <w:rPr>
                <w:rFonts w:hint="eastAsia" w:ascii="仿宋" w:hAnsi="仿宋" w:eastAsia="仿宋" w:cs="仿宋"/>
                <w:sz w:val="32"/>
                <w:szCs w:val="32"/>
                <w:vertAlign w:val="baseline"/>
                <w:lang w:eastAsia="zh-CN"/>
              </w:rPr>
              <w:t>。</w:t>
            </w:r>
          </w:p>
        </w:tc>
        <w:tc>
          <w:tcPr>
            <w:tcW w:w="2841" w:type="dxa"/>
          </w:tcPr>
          <w:p w14:paraId="07FA07D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符合</w:t>
            </w:r>
          </w:p>
        </w:tc>
      </w:tr>
      <w:tr w14:paraId="0506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08FD3AE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5</w:t>
            </w:r>
          </w:p>
        </w:tc>
        <w:tc>
          <w:tcPr>
            <w:tcW w:w="2841" w:type="dxa"/>
          </w:tcPr>
          <w:p w14:paraId="521E32D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评估范围、服务内容、成果要求等实质性内容满足比选公告要求</w:t>
            </w:r>
            <w:r>
              <w:rPr>
                <w:rFonts w:hint="eastAsia" w:ascii="仿宋" w:hAnsi="仿宋" w:eastAsia="仿宋" w:cs="仿宋"/>
                <w:sz w:val="32"/>
                <w:szCs w:val="32"/>
                <w:vertAlign w:val="baseline"/>
                <w:lang w:eastAsia="zh-CN"/>
              </w:rPr>
              <w:t>。</w:t>
            </w:r>
          </w:p>
        </w:tc>
        <w:tc>
          <w:tcPr>
            <w:tcW w:w="2841" w:type="dxa"/>
          </w:tcPr>
          <w:p w14:paraId="3AAE989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符合</w:t>
            </w:r>
          </w:p>
        </w:tc>
      </w:tr>
      <w:tr w14:paraId="30DDF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F8CC5D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6</w:t>
            </w:r>
          </w:p>
        </w:tc>
        <w:tc>
          <w:tcPr>
            <w:tcW w:w="2841" w:type="dxa"/>
          </w:tcPr>
          <w:p w14:paraId="67F0581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比选报价为一次性包干价，包含全部费用。</w:t>
            </w:r>
          </w:p>
        </w:tc>
        <w:tc>
          <w:tcPr>
            <w:tcW w:w="2841" w:type="dxa"/>
          </w:tcPr>
          <w:p w14:paraId="2D143D4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val="en-US" w:eastAsia="zh-CN"/>
              </w:rPr>
              <w:t>符合</w:t>
            </w:r>
          </w:p>
        </w:tc>
      </w:tr>
      <w:tr w14:paraId="1CEA6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48A0CC5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7</w:t>
            </w:r>
          </w:p>
        </w:tc>
        <w:tc>
          <w:tcPr>
            <w:tcW w:w="2841" w:type="dxa"/>
          </w:tcPr>
          <w:p w14:paraId="473F363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服务期限满足比选公告要求</w:t>
            </w:r>
            <w:r>
              <w:rPr>
                <w:rFonts w:hint="eastAsia" w:ascii="仿宋" w:hAnsi="仿宋" w:eastAsia="仿宋" w:cs="仿宋"/>
                <w:sz w:val="32"/>
                <w:szCs w:val="32"/>
                <w:vertAlign w:val="baseline"/>
                <w:lang w:eastAsia="zh-CN"/>
              </w:rPr>
              <w:t>。（签订委托合同后30个日历天内出具正式资产评估报告）</w:t>
            </w:r>
          </w:p>
        </w:tc>
        <w:tc>
          <w:tcPr>
            <w:tcW w:w="2841" w:type="dxa"/>
          </w:tcPr>
          <w:p w14:paraId="60FC0E1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符合</w:t>
            </w:r>
          </w:p>
        </w:tc>
      </w:tr>
      <w:tr w14:paraId="432D6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16BA236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8</w:t>
            </w:r>
          </w:p>
        </w:tc>
        <w:tc>
          <w:tcPr>
            <w:tcW w:w="2841" w:type="dxa"/>
          </w:tcPr>
          <w:p w14:paraId="6CB4363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参选文件未附有比选人不能接受的其他条件</w:t>
            </w:r>
            <w:r>
              <w:rPr>
                <w:rFonts w:hint="eastAsia" w:ascii="仿宋" w:hAnsi="仿宋" w:eastAsia="仿宋" w:cs="仿宋"/>
                <w:sz w:val="32"/>
                <w:szCs w:val="32"/>
                <w:vertAlign w:val="baseline"/>
                <w:lang w:eastAsia="zh-CN"/>
              </w:rPr>
              <w:t>。</w:t>
            </w:r>
          </w:p>
        </w:tc>
        <w:tc>
          <w:tcPr>
            <w:tcW w:w="2841" w:type="dxa"/>
          </w:tcPr>
          <w:p w14:paraId="785F84B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符合</w:t>
            </w:r>
          </w:p>
        </w:tc>
      </w:tr>
    </w:tbl>
    <w:p w14:paraId="10C5AE5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第十一条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异常低价审查</w:t>
      </w:r>
    </w:p>
    <w:p w14:paraId="6C749BE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比选小组认为参选报价明显低于其他有效报价，有可能影响服务质量或诚信履约的，可要求参选机构在合理时间内（原则上不超过30分钟）提交书面说明及成本测算佐证材料。参选机构无法合理证明报价合法性与履约可行性的，作无效参选处理。</w:t>
      </w:r>
    </w:p>
    <w:p w14:paraId="588BB9B2">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第六章 综合评分细则</w:t>
      </w:r>
    </w:p>
    <w:p w14:paraId="12F0E18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第十二条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评分规则</w:t>
      </w:r>
    </w:p>
    <w:p w14:paraId="71D5A85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（一）采用百分制综合评分法，</w:t>
      </w:r>
      <w:r>
        <w:rPr>
          <w:rFonts w:hint="eastAsia" w:ascii="仿宋" w:hAnsi="仿宋" w:eastAsia="仿宋" w:cs="仿宋"/>
          <w:sz w:val="32"/>
          <w:szCs w:val="32"/>
          <w:lang w:val="en-US" w:eastAsia="zh-CN"/>
        </w:rPr>
        <w:t>比选</w:t>
      </w:r>
      <w:r>
        <w:rPr>
          <w:rFonts w:hint="eastAsia" w:ascii="仿宋" w:hAnsi="仿宋" w:eastAsia="仿宋" w:cs="仿宋"/>
          <w:sz w:val="32"/>
          <w:szCs w:val="32"/>
        </w:rPr>
        <w:t>小组成员独立打分，打分保留整数。</w:t>
      </w:r>
    </w:p>
    <w:p w14:paraId="52B99E8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（二）取所有评委打分的算术平均值为参选机构最终得分，得分保留两位小数。</w:t>
      </w:r>
    </w:p>
    <w:p w14:paraId="0E4F25F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（三）评分严格按照本办法规定的分值与标准执行，不得擅自增减项目或调整分值。</w:t>
      </w:r>
    </w:p>
    <w:p w14:paraId="08C9855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第十三条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评分维度与分值</w:t>
      </w:r>
    </w:p>
    <w:p w14:paraId="2CFC4F5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评分维度与分值严格对应比选公告设置，总分100分，具体标准如下：</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841"/>
        <w:gridCol w:w="2841"/>
      </w:tblGrid>
      <w:tr w14:paraId="3721A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6154FCB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rPr>
              <w:t>序号</w:t>
            </w:r>
          </w:p>
        </w:tc>
        <w:tc>
          <w:tcPr>
            <w:tcW w:w="2841" w:type="dxa"/>
          </w:tcPr>
          <w:p w14:paraId="502E6AC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rPr>
              <w:t>评审</w:t>
            </w:r>
            <w:r>
              <w:rPr>
                <w:rFonts w:hint="eastAsia" w:ascii="仿宋" w:hAnsi="仿宋" w:eastAsia="仿宋" w:cs="仿宋"/>
                <w:sz w:val="32"/>
                <w:szCs w:val="32"/>
                <w:lang w:val="en-US" w:eastAsia="zh-CN"/>
              </w:rPr>
              <w:t>因素</w:t>
            </w:r>
          </w:p>
        </w:tc>
        <w:tc>
          <w:tcPr>
            <w:tcW w:w="2841" w:type="dxa"/>
          </w:tcPr>
          <w:p w14:paraId="7FB108C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rPr>
              <w:t>评分标准说明</w:t>
            </w:r>
          </w:p>
        </w:tc>
      </w:tr>
      <w:tr w14:paraId="420C2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0FE2C7E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2841" w:type="dxa"/>
          </w:tcPr>
          <w:p w14:paraId="7E65C4D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报价（20分）</w:t>
            </w:r>
          </w:p>
        </w:tc>
        <w:tc>
          <w:tcPr>
            <w:tcW w:w="2841" w:type="dxa"/>
          </w:tcPr>
          <w:p w14:paraId="1C753C7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以满足</w:t>
            </w:r>
            <w:r>
              <w:rPr>
                <w:rFonts w:hint="eastAsia" w:ascii="仿宋" w:hAnsi="仿宋" w:eastAsia="仿宋" w:cs="仿宋"/>
                <w:sz w:val="32"/>
                <w:szCs w:val="32"/>
                <w:vertAlign w:val="baseline"/>
                <w:lang w:val="en-US" w:eastAsia="zh-CN"/>
              </w:rPr>
              <w:t>比选</w:t>
            </w:r>
            <w:r>
              <w:rPr>
                <w:rFonts w:hint="eastAsia" w:ascii="仿宋" w:hAnsi="仿宋" w:eastAsia="仿宋" w:cs="仿宋"/>
                <w:sz w:val="32"/>
                <w:szCs w:val="32"/>
                <w:vertAlign w:val="baseline"/>
              </w:rPr>
              <w:t>文件要求最终总报价最低的报价为基准价，其价格为满分，其他比选报价得分=（比选基准价/比选报价）×价格权值×100</w:t>
            </w:r>
          </w:p>
        </w:tc>
      </w:tr>
      <w:tr w14:paraId="640A7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E1E289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2841" w:type="dxa"/>
          </w:tcPr>
          <w:p w14:paraId="5651EDF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业绩（30分）</w:t>
            </w:r>
          </w:p>
        </w:tc>
        <w:tc>
          <w:tcPr>
            <w:tcW w:w="2841" w:type="dxa"/>
          </w:tcPr>
          <w:p w14:paraId="4D1BC8B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rPr>
              <w:t>（1）近3年（2023年1月1日至今，以报告出具时间为准）承接的企业清算注销、清产核资类资产评估项目，每提供1个得3分，</w:t>
            </w:r>
            <w:r>
              <w:rPr>
                <w:rFonts w:hint="eastAsia" w:ascii="仿宋" w:hAnsi="仿宋" w:eastAsia="仿宋" w:cs="仿宋"/>
                <w:sz w:val="32"/>
                <w:szCs w:val="32"/>
                <w:vertAlign w:val="baseline"/>
                <w:lang w:val="en-US" w:eastAsia="zh-CN"/>
              </w:rPr>
              <w:t>本项最高24</w:t>
            </w:r>
            <w:r>
              <w:rPr>
                <w:rFonts w:hint="eastAsia" w:ascii="仿宋" w:hAnsi="仿宋" w:eastAsia="仿宋" w:cs="仿宋"/>
                <w:sz w:val="32"/>
                <w:szCs w:val="32"/>
                <w:vertAlign w:val="baseline"/>
              </w:rPr>
              <w:t>分。（2）其中属于河北省内高校、市属行政事业单位、村集体参股企业清算评估项目的，每增加1个额外加2分，本项额外加分最高</w:t>
            </w:r>
            <w:r>
              <w:rPr>
                <w:rFonts w:hint="eastAsia" w:ascii="仿宋" w:hAnsi="仿宋" w:eastAsia="仿宋" w:cs="仿宋"/>
                <w:sz w:val="32"/>
                <w:szCs w:val="32"/>
                <w:vertAlign w:val="baseline"/>
                <w:lang w:val="en-US" w:eastAsia="zh-CN"/>
              </w:rPr>
              <w:t>6</w:t>
            </w:r>
            <w:r>
              <w:rPr>
                <w:rFonts w:hint="eastAsia" w:ascii="仿宋" w:hAnsi="仿宋" w:eastAsia="仿宋" w:cs="仿宋"/>
                <w:sz w:val="32"/>
                <w:szCs w:val="32"/>
                <w:vertAlign w:val="baseline"/>
              </w:rPr>
              <w:t>分。（3）须提供委托协议、评估报告关键页（封面+签章页），加盖公章。材料不全、印章模糊、无法体现项目内容与服务身份的，不计分。</w:t>
            </w:r>
          </w:p>
        </w:tc>
      </w:tr>
      <w:tr w14:paraId="37A46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5FC938F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w:t>
            </w:r>
          </w:p>
        </w:tc>
        <w:tc>
          <w:tcPr>
            <w:tcW w:w="2841" w:type="dxa"/>
          </w:tcPr>
          <w:p w14:paraId="1B32F53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rPr>
              <w:t>机构资质及执业信誉</w:t>
            </w:r>
            <w:r>
              <w:rPr>
                <w:rFonts w:hint="eastAsia" w:ascii="仿宋" w:hAnsi="仿宋" w:eastAsia="仿宋" w:cs="仿宋"/>
                <w:sz w:val="32"/>
                <w:szCs w:val="32"/>
                <w:vertAlign w:val="baseline"/>
                <w:lang w:eastAsia="zh-CN"/>
              </w:rPr>
              <w:t>（</w:t>
            </w:r>
            <w:r>
              <w:rPr>
                <w:rFonts w:hint="eastAsia" w:ascii="仿宋" w:hAnsi="仿宋" w:eastAsia="仿宋" w:cs="仿宋"/>
                <w:sz w:val="32"/>
                <w:szCs w:val="32"/>
                <w:vertAlign w:val="baseline"/>
              </w:rPr>
              <w:t>20分</w:t>
            </w:r>
            <w:r>
              <w:rPr>
                <w:rFonts w:hint="eastAsia" w:ascii="仿宋" w:hAnsi="仿宋" w:eastAsia="仿宋" w:cs="仿宋"/>
                <w:sz w:val="32"/>
                <w:szCs w:val="32"/>
                <w:vertAlign w:val="baseline"/>
                <w:lang w:eastAsia="zh-CN"/>
              </w:rPr>
              <w:t>）</w:t>
            </w:r>
          </w:p>
        </w:tc>
        <w:tc>
          <w:tcPr>
            <w:tcW w:w="2841" w:type="dxa"/>
          </w:tcPr>
          <w:p w14:paraId="6CC7506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1、项目负责人经验（5分）：项目负责人具有3年（含）以上相关项目经验的，即满足资格条件；在此基础上，每增加完整1年经验加1分，本项最高5分（不足1年的部分不计入）。</w:t>
            </w:r>
          </w:p>
          <w:p w14:paraId="49E3663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2、项目团队人员配置（10分）：项目组其他成员（除项目负责人外）每具备</w:t>
            </w:r>
            <w:bookmarkStart w:id="0" w:name="_GoBack"/>
            <w:bookmarkEnd w:id="0"/>
            <w:r>
              <w:rPr>
                <w:rFonts w:hint="eastAsia" w:ascii="仿宋" w:hAnsi="仿宋" w:eastAsia="仿宋" w:cs="仿宋"/>
                <w:sz w:val="32"/>
                <w:szCs w:val="32"/>
                <w:vertAlign w:val="baseline"/>
                <w:lang w:val="en-US" w:eastAsia="zh-CN"/>
              </w:rPr>
              <w:t>1名注册资产评估师证书的得2分，本项最高10分。</w:t>
            </w:r>
          </w:p>
          <w:p w14:paraId="73F3907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3、执业信誉（5分）： 以比选公告发布之日为基准，近3年无不良记录的即满足资格条件；在此基础上，每增加1年无不良记录加1分，本项最高5分。</w:t>
            </w:r>
          </w:p>
        </w:tc>
      </w:tr>
      <w:tr w14:paraId="31D08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2745159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w:t>
            </w:r>
          </w:p>
        </w:tc>
        <w:tc>
          <w:tcPr>
            <w:tcW w:w="2841" w:type="dxa"/>
          </w:tcPr>
          <w:p w14:paraId="48D9C45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rPr>
              <w:t>工作方案及服务保障</w:t>
            </w:r>
            <w:r>
              <w:rPr>
                <w:rFonts w:hint="eastAsia" w:ascii="仿宋" w:hAnsi="仿宋" w:eastAsia="仿宋" w:cs="仿宋"/>
                <w:sz w:val="32"/>
                <w:szCs w:val="32"/>
                <w:vertAlign w:val="baseline"/>
                <w:lang w:eastAsia="zh-CN"/>
              </w:rPr>
              <w:t>（</w:t>
            </w:r>
            <w:r>
              <w:rPr>
                <w:rFonts w:hint="eastAsia" w:ascii="仿宋" w:hAnsi="仿宋" w:eastAsia="仿宋" w:cs="仿宋"/>
                <w:sz w:val="32"/>
                <w:szCs w:val="32"/>
                <w:vertAlign w:val="baseline"/>
                <w:lang w:val="en-US" w:eastAsia="zh-CN"/>
              </w:rPr>
              <w:t>30分）</w:t>
            </w:r>
          </w:p>
        </w:tc>
        <w:tc>
          <w:tcPr>
            <w:tcW w:w="2841" w:type="dxa"/>
          </w:tcPr>
          <w:p w14:paraId="094D53A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val="en-US" w:eastAsia="zh-CN"/>
              </w:rPr>
              <w:t>1、</w:t>
            </w:r>
            <w:r>
              <w:rPr>
                <w:rFonts w:hint="eastAsia" w:ascii="仿宋" w:hAnsi="仿宋" w:eastAsia="仿宋" w:cs="仿宋"/>
                <w:sz w:val="32"/>
                <w:szCs w:val="32"/>
                <w:vertAlign w:val="baseline"/>
              </w:rPr>
              <w:t>资产清查盘点方案（6分）：全面覆盖账内、账外资产，盘点流程清晰、权属核查到位、或有事项处置方案合理的，得4-6分；方案较完整的，得2-3分；内容简略的，得0-1分。</w:t>
            </w:r>
            <w:r>
              <w:rPr>
                <w:rFonts w:hint="eastAsia" w:ascii="仿宋" w:hAnsi="仿宋" w:eastAsia="仿宋" w:cs="仿宋"/>
                <w:sz w:val="32"/>
                <w:szCs w:val="32"/>
                <w:vertAlign w:val="baseline"/>
                <w:lang w:val="en-US" w:eastAsia="zh-CN"/>
              </w:rPr>
              <w:t>2、</w:t>
            </w:r>
            <w:r>
              <w:rPr>
                <w:rFonts w:hint="eastAsia" w:ascii="仿宋" w:hAnsi="仿宋" w:eastAsia="仿宋" w:cs="仿宋"/>
                <w:sz w:val="32"/>
                <w:szCs w:val="32"/>
                <w:vertAlign w:val="baseline"/>
              </w:rPr>
              <w:t>评估技术方案与质量管控（6分）：清算价值测算逻辑清晰、质量控制体系完善、符合评估准则的，得4-6分；方案较完整的，得2-3分；内容简略的，得0-1分。</w:t>
            </w:r>
          </w:p>
          <w:p w14:paraId="5AF3208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val="en-US" w:eastAsia="zh-CN"/>
              </w:rPr>
              <w:t>3、</w:t>
            </w:r>
            <w:r>
              <w:rPr>
                <w:rFonts w:hint="eastAsia" w:ascii="仿宋" w:hAnsi="仿宋" w:eastAsia="仿宋" w:cs="仿宋"/>
                <w:sz w:val="32"/>
                <w:szCs w:val="32"/>
                <w:vertAlign w:val="baseline"/>
              </w:rPr>
              <w:t>项目进度与工期保障（6分）：进度计划细化到节点，保障措施可行，确保30个日历天内出具报告的，得4-6分；方案较完整的，得2-3分；内容简略的，得0-1分。</w:t>
            </w:r>
          </w:p>
          <w:p w14:paraId="029671E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val="en-US" w:eastAsia="zh-CN"/>
              </w:rPr>
              <w:t>4、</w:t>
            </w:r>
            <w:r>
              <w:rPr>
                <w:rFonts w:hint="eastAsia" w:ascii="仿宋" w:hAnsi="仿宋" w:eastAsia="仿宋" w:cs="仿宋"/>
                <w:sz w:val="32"/>
                <w:szCs w:val="32"/>
                <w:vertAlign w:val="baseline"/>
              </w:rPr>
              <w:t>保密与廉洁从业措施（6分）：制度健全、责任到人、可操作性强的，得4-6分；方案较完整的，得2-3分；内容简略的，得0-1分。</w:t>
            </w:r>
          </w:p>
          <w:p w14:paraId="14AC9C5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val="en-US" w:eastAsia="zh-CN"/>
              </w:rPr>
              <w:t>5、</w:t>
            </w:r>
            <w:r>
              <w:rPr>
                <w:rFonts w:hint="eastAsia" w:ascii="仿宋" w:hAnsi="仿宋" w:eastAsia="仿宋" w:cs="仿宋"/>
                <w:sz w:val="32"/>
                <w:szCs w:val="32"/>
                <w:vertAlign w:val="baseline"/>
              </w:rPr>
              <w:t>后期服务与配合保障（6分）：全程配合清算组、学校、村委会及税务、市场监管部门答疑、资料补充，响应时效明确、服务承诺全面的，得4-6分；方案较完整的，得2-3分；内容简略的，得0-1分。</w:t>
            </w:r>
          </w:p>
          <w:p w14:paraId="4FFE70A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val="en-US" w:eastAsia="zh-CN"/>
              </w:rPr>
              <w:t>注：</w:t>
            </w:r>
            <w:r>
              <w:rPr>
                <w:rFonts w:hint="eastAsia" w:ascii="仿宋" w:hAnsi="仿宋" w:eastAsia="仿宋" w:cs="仿宋"/>
                <w:sz w:val="32"/>
                <w:szCs w:val="32"/>
                <w:vertAlign w:val="baseline"/>
              </w:rPr>
              <w:t>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视为瑕疵，每</w:t>
            </w:r>
            <w:r>
              <w:rPr>
                <w:rFonts w:hint="eastAsia" w:ascii="仿宋" w:hAnsi="仿宋" w:eastAsia="仿宋" w:cs="仿宋"/>
                <w:sz w:val="32"/>
                <w:szCs w:val="32"/>
                <w:vertAlign w:val="baseline"/>
                <w:lang w:val="en-US" w:eastAsia="zh-CN"/>
              </w:rPr>
              <w:t>出现一</w:t>
            </w:r>
            <w:r>
              <w:rPr>
                <w:rFonts w:hint="eastAsia" w:ascii="仿宋" w:hAnsi="仿宋" w:eastAsia="仿宋" w:cs="仿宋"/>
                <w:sz w:val="32"/>
                <w:szCs w:val="32"/>
                <w:vertAlign w:val="baseline"/>
              </w:rPr>
              <w:t>处扣2分，扣完本项分值为止。</w:t>
            </w:r>
          </w:p>
        </w:tc>
      </w:tr>
    </w:tbl>
    <w:p w14:paraId="7E9BE578">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p>
    <w:p w14:paraId="691E765B">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sz w:val="32"/>
          <w:szCs w:val="32"/>
        </w:rPr>
      </w:pPr>
      <w:r>
        <w:rPr>
          <w:rFonts w:hint="eastAsia" w:ascii="仿宋" w:hAnsi="仿宋" w:eastAsia="仿宋" w:cs="仿宋"/>
          <w:b/>
          <w:bCs/>
          <w:sz w:val="32"/>
          <w:szCs w:val="32"/>
        </w:rPr>
        <w:t>第七章 中选机构确定</w:t>
      </w:r>
    </w:p>
    <w:p w14:paraId="03FC707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第十四条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排序规则</w:t>
      </w:r>
    </w:p>
    <w:p w14:paraId="28DB6CE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比选</w:t>
      </w:r>
      <w:r>
        <w:rPr>
          <w:rFonts w:hint="eastAsia" w:ascii="仿宋" w:hAnsi="仿宋" w:eastAsia="仿宋" w:cs="仿宋"/>
          <w:sz w:val="32"/>
          <w:szCs w:val="32"/>
        </w:rPr>
        <w:t>小组对有效参选文件按最终得分由高到低进行排名；得分相同的，依次按以下规则确定排序：</w:t>
      </w:r>
    </w:p>
    <w:p w14:paraId="02B8EF2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（一）参选报价更低者优先；</w:t>
      </w:r>
    </w:p>
    <w:p w14:paraId="24F3D463">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（二）清算项目业绩得分更高者优先；</w:t>
      </w:r>
    </w:p>
    <w:p w14:paraId="56EC1B5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（三）机构资质及执业信誉得分更高者优先。</w:t>
      </w:r>
    </w:p>
    <w:p w14:paraId="6FF9E2C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第十五条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中选与备选</w:t>
      </w:r>
    </w:p>
    <w:p w14:paraId="667036C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综合得分排名第一的参选机构确定为中选单位，排名第二的作为备选单位。</w:t>
      </w:r>
    </w:p>
    <w:p w14:paraId="445F341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第十六条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递补规则</w:t>
      </w:r>
    </w:p>
    <w:p w14:paraId="5CE473A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若中选机构放弃中选、因不可抗力不能履行合同，或查实存在影响中选结果的违规行为的，比选人可按照排名顺延确定备选机构为中选机构，也可重新组织比选。</w:t>
      </w:r>
    </w:p>
    <w:p w14:paraId="17797BEE">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第八章 无效参选情形</w:t>
      </w:r>
    </w:p>
    <w:p w14:paraId="4A59047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第十七条 参选文件出现下列情形之一的，作无效参选处理：</w:t>
      </w:r>
    </w:p>
    <w:p w14:paraId="645BAE6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（一）资格审查任意一项不满足要求的；</w:t>
      </w:r>
    </w:p>
    <w:p w14:paraId="0D9553A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（二）符合性审查中实质性条款出现负偏离的；</w:t>
      </w:r>
    </w:p>
    <w:p w14:paraId="7C148F8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三</w:t>
      </w:r>
      <w:r>
        <w:rPr>
          <w:rFonts w:hint="eastAsia" w:ascii="仿宋" w:hAnsi="仿宋" w:eastAsia="仿宋" w:cs="仿宋"/>
          <w:sz w:val="32"/>
          <w:szCs w:val="32"/>
        </w:rPr>
        <w:t>）参选文件未按要求签字盖章，或授权委托手续无效的；</w:t>
      </w:r>
    </w:p>
    <w:p w14:paraId="37FAC55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四</w:t>
      </w:r>
      <w:r>
        <w:rPr>
          <w:rFonts w:hint="eastAsia" w:ascii="仿宋" w:hAnsi="仿宋" w:eastAsia="仿宋" w:cs="仿宋"/>
          <w:sz w:val="32"/>
          <w:szCs w:val="32"/>
        </w:rPr>
        <w:t>）参选机构存在串通参选、弄虚作假、提供虚假材料等情形的；</w:t>
      </w:r>
    </w:p>
    <w:p w14:paraId="395377B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五</w:t>
      </w:r>
      <w:r>
        <w:rPr>
          <w:rFonts w:hint="eastAsia" w:ascii="仿宋" w:hAnsi="仿宋" w:eastAsia="仿宋" w:cs="仿宋"/>
          <w:sz w:val="32"/>
          <w:szCs w:val="32"/>
        </w:rPr>
        <w:t>）异常低价且无法在规定时间内提供合理证明的；</w:t>
      </w:r>
    </w:p>
    <w:p w14:paraId="16F13D4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六</w:t>
      </w:r>
      <w:r>
        <w:rPr>
          <w:rFonts w:hint="eastAsia" w:ascii="仿宋" w:hAnsi="仿宋" w:eastAsia="仿宋" w:cs="仿宋"/>
          <w:sz w:val="32"/>
          <w:szCs w:val="32"/>
        </w:rPr>
        <w:t>）存在其他违反法律法规及比选公告规定的无效情形的。</w:t>
      </w:r>
    </w:p>
    <w:p w14:paraId="247F4219">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 w:hAnsi="仿宋" w:eastAsia="仿宋" w:cs="仿宋"/>
          <w:sz w:val="32"/>
          <w:szCs w:val="32"/>
        </w:rPr>
      </w:pPr>
      <w:r>
        <w:rPr>
          <w:rFonts w:hint="eastAsia" w:ascii="仿宋" w:hAnsi="仿宋" w:eastAsia="仿宋" w:cs="仿宋"/>
          <w:b/>
          <w:bCs/>
          <w:sz w:val="32"/>
          <w:szCs w:val="32"/>
        </w:rPr>
        <w:t>第九章 比选纪律</w:t>
      </w:r>
    </w:p>
    <w:p w14:paraId="1DFD7EB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第十八条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比选小组成员及参与比选的工作人员应当遵守以下纪律：</w:t>
      </w:r>
    </w:p>
    <w:p w14:paraId="564574B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（一）比选过程中不得与外界沟通，不得泄露比选情况、比选意见及比选结论；</w:t>
      </w:r>
    </w:p>
    <w:p w14:paraId="42B55DC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（二）不得接受参选机构或与比选活动有关的任何单位、个人的宴请、礼品、礼金或其他利益；</w:t>
      </w:r>
    </w:p>
    <w:p w14:paraId="658204D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（三）与参选机构存在利害关系的，应当主动回避；</w:t>
      </w:r>
    </w:p>
    <w:p w14:paraId="0334E00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（四）比选现场全程记录，比选结束后统一移交归档。</w:t>
      </w:r>
    </w:p>
    <w:p w14:paraId="385C59D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第十九条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参选机构不得以任何方式对</w:t>
      </w:r>
      <w:r>
        <w:rPr>
          <w:rFonts w:hint="eastAsia" w:ascii="仿宋" w:hAnsi="仿宋" w:eastAsia="仿宋" w:cs="仿宋"/>
          <w:sz w:val="32"/>
          <w:szCs w:val="32"/>
          <w:lang w:val="en-US" w:eastAsia="zh-CN"/>
        </w:rPr>
        <w:t>比选</w:t>
      </w:r>
      <w:r>
        <w:rPr>
          <w:rFonts w:hint="eastAsia" w:ascii="仿宋" w:hAnsi="仿宋" w:eastAsia="仿宋" w:cs="仿宋"/>
          <w:sz w:val="32"/>
          <w:szCs w:val="32"/>
        </w:rPr>
        <w:t>小组成员及相关工作人员施加影响，违者取消参选资格；已中选的，比选人有权取消其中选资格。</w:t>
      </w:r>
    </w:p>
    <w:p w14:paraId="01869431">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第二十条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本办法由石家庄怀远高校后勤服务有限公司负责解释。</w:t>
      </w:r>
    </w:p>
    <w:p w14:paraId="5481F8D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第二十一条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本办法未尽事宜，由比选小组依据比选公告及相关法律法规研究决定，并形成书面记录。</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A1323"/>
    <w:rsid w:val="280F4BC6"/>
    <w:rsid w:val="363F0835"/>
    <w:rsid w:val="69A1245C"/>
    <w:rsid w:val="69D46462"/>
    <w:rsid w:val="6C5B4564"/>
    <w:rsid w:val="7B3079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3655</Words>
  <Characters>3705</Characters>
  <Lines>0</Lines>
  <Paragraphs>0</Paragraphs>
  <TotalTime>43</TotalTime>
  <ScaleCrop>false</ScaleCrop>
  <LinksUpToDate>false</LinksUpToDate>
  <CharactersWithSpaces>3737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2026-07-13T08:09:00Z</dcterms:created>
  <dc:creator>HP</dc:creator>
  <cp:lastModifiedBy>李伟刚</cp:lastModifiedBy>
  <dcterms:modified xsi:type="dcterms:W3CDTF">2026-07-15T03:07:18Z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E159D5E5D4014B2DB4A6F421F3198359</vt:lpwstr>
  </property>
  <property fmtid="{D5CDD505-2E9C-101B-9397-08002B2CF9AE}" pid="4" name="KSOTemplateDocerSaveRecord">
    <vt:lpwstr>eyJoZGlkIjoiZGFjOWYwZWM3MmM3NTkyNjI3M2IzNjVmZjBhODNjZjQiLCJ1c2VySWQiOiI4OTkyMDk3MjcifQ==</vt:lpwstr>
  </property>
</Properties>
</file>